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B228C" w14:textId="186F1DF0" w:rsidR="0091026B" w:rsidRPr="00CE0424" w:rsidRDefault="0091026B" w:rsidP="0091026B">
      <w:pPr>
        <w:pStyle w:val="3GPPHeader"/>
        <w:spacing w:after="60"/>
        <w:rPr>
          <w:sz w:val="32"/>
          <w:szCs w:val="32"/>
          <w:highlight w:val="yellow"/>
        </w:rPr>
      </w:pPr>
      <w:bookmarkStart w:id="0" w:name="_GoBack"/>
      <w:bookmarkEnd w:id="0"/>
      <w:r w:rsidRPr="00CE0424">
        <w:t>3GPP TSG-RAN WG</w:t>
      </w:r>
      <w:r>
        <w:t>2</w:t>
      </w:r>
      <w:r w:rsidRPr="00CE0424">
        <w:t>#</w:t>
      </w:r>
      <w:r>
        <w:t>10</w:t>
      </w:r>
      <w:r w:rsidR="005A646E">
        <w:t>7</w:t>
      </w:r>
      <w:r w:rsidRPr="00CE0424">
        <w:tab/>
      </w:r>
      <w:r w:rsidR="00B22714" w:rsidRPr="00B22714">
        <w:rPr>
          <w:sz w:val="32"/>
          <w:szCs w:val="32"/>
        </w:rPr>
        <w:t>R2</w:t>
      </w:r>
      <w:r w:rsidR="009A2811" w:rsidRPr="009A2811">
        <w:rPr>
          <w:sz w:val="32"/>
          <w:szCs w:val="32"/>
        </w:rPr>
        <w:t>-1910253</w:t>
      </w:r>
    </w:p>
    <w:p w14:paraId="41490B08" w14:textId="6C59A2D5" w:rsidR="0091026B" w:rsidRPr="00CE0424" w:rsidRDefault="005A646E" w:rsidP="0091026B">
      <w:pPr>
        <w:pStyle w:val="3GPPHeader"/>
      </w:pPr>
      <w:bookmarkStart w:id="1" w:name="_Hlk12346255"/>
      <w:bookmarkStart w:id="2" w:name="_Hlk7553155"/>
      <w:bookmarkStart w:id="3" w:name="_Hlk4423379"/>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bookmarkEnd w:id="1"/>
      <w:r w:rsidR="004D0D9A">
        <w:tab/>
      </w:r>
      <w:bookmarkEnd w:id="2"/>
      <w:r>
        <w:t>Resubmission of R2-1907249</w:t>
      </w:r>
    </w:p>
    <w:bookmarkEnd w:id="3"/>
    <w:p w14:paraId="7BCAEB46" w14:textId="77777777" w:rsidR="00E633B6" w:rsidRPr="00CE0424" w:rsidRDefault="00E633B6" w:rsidP="002851E6">
      <w:pPr>
        <w:pStyle w:val="3GPPHeader"/>
      </w:pPr>
    </w:p>
    <w:p w14:paraId="571EEBB1" w14:textId="42FC4DBD" w:rsidR="002851E6" w:rsidRPr="00B222FE" w:rsidRDefault="002851E6" w:rsidP="002851E6">
      <w:pPr>
        <w:pStyle w:val="3GPPHeader"/>
        <w:rPr>
          <w:sz w:val="22"/>
          <w:lang w:val="en-US"/>
        </w:rPr>
      </w:pPr>
      <w:r w:rsidRPr="00E23535">
        <w:rPr>
          <w:sz w:val="22"/>
          <w:lang w:val="en-US"/>
        </w:rPr>
        <w:t>Agenda Item:</w:t>
      </w:r>
      <w:r w:rsidRPr="00E23535">
        <w:rPr>
          <w:sz w:val="22"/>
          <w:lang w:val="en-US"/>
        </w:rPr>
        <w:tab/>
      </w:r>
      <w:r w:rsidR="00FB5614" w:rsidRPr="00E23535">
        <w:rPr>
          <w:sz w:val="22"/>
          <w:lang w:val="en-US"/>
        </w:rPr>
        <w:t>11.</w:t>
      </w:r>
      <w:r w:rsidR="00E23535" w:rsidRPr="00E23535">
        <w:rPr>
          <w:sz w:val="22"/>
          <w:lang w:val="en-US"/>
        </w:rPr>
        <w:t>10.3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16CF2C62"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B22714" w:rsidRPr="00B22714">
        <w:rPr>
          <w:sz w:val="22"/>
          <w:szCs w:val="22"/>
        </w:rPr>
        <w:t>Capabilities for idle/inactive measurements</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5EA0E58E" w14:textId="7E6609D6" w:rsidR="00D466C9" w:rsidRDefault="00A40146" w:rsidP="00A40146">
      <w:bookmarkStart w:id="4" w:name="_Hlk513657944"/>
      <w:r w:rsidRPr="00A40146">
        <w:rPr>
          <w:lang w:eastAsia="ja-JP"/>
        </w:rPr>
        <w:t>In RAN2#105bis, several agreements were made regarding the early/idle measurement configurations. Particularly, it has been agreed that</w:t>
      </w:r>
    </w:p>
    <w:p w14:paraId="5D9360A9" w14:textId="77777777" w:rsidR="00D466C9" w:rsidRDefault="00D466C9" w:rsidP="00D466C9">
      <w:pPr>
        <w:pStyle w:val="Doc-text2"/>
        <w:pBdr>
          <w:top w:val="single" w:sz="4" w:space="1" w:color="auto"/>
          <w:left w:val="single" w:sz="4" w:space="4" w:color="auto"/>
          <w:bottom w:val="single" w:sz="4" w:space="1" w:color="auto"/>
          <w:right w:val="single" w:sz="4" w:space="4" w:color="auto"/>
        </w:pBdr>
      </w:pPr>
      <w:r>
        <w:t>Agreements</w:t>
      </w:r>
    </w:p>
    <w:p w14:paraId="65AD57C8" w14:textId="77777777" w:rsidR="00A40146" w:rsidRDefault="00A40146" w:rsidP="00A40146">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1134"/>
        </w:tabs>
      </w:pPr>
      <w:r w:rsidRPr="00D6384F">
        <w:t xml:space="preserve">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w:t>
      </w:r>
      <w:r w:rsidRPr="00A02027">
        <w:rPr>
          <w:b/>
        </w:rPr>
        <w:t>Details are FFS</w:t>
      </w:r>
    </w:p>
    <w:p w14:paraId="2C2BF696" w14:textId="77777777" w:rsidR="00D466C9" w:rsidRPr="004C2D02" w:rsidRDefault="00D466C9" w:rsidP="005A51AA">
      <w:pPr>
        <w:rPr>
          <w:lang w:val="en-US" w:eastAsia="ja-JP"/>
        </w:rPr>
      </w:pPr>
    </w:p>
    <w:p w14:paraId="61E7A938" w14:textId="77777777" w:rsidR="00A40146" w:rsidRPr="00EB2E8B" w:rsidRDefault="00A40146" w:rsidP="00A40146">
      <w:pPr>
        <w:pStyle w:val="NormalWeb"/>
        <w:spacing w:before="0" w:beforeAutospacing="0" w:after="0" w:afterAutospacing="0"/>
        <w:rPr>
          <w:rFonts w:ascii="Arial" w:hAnsi="Arial" w:cs="Arial"/>
          <w:color w:val="333333"/>
          <w:sz w:val="20"/>
          <w:szCs w:val="21"/>
          <w:lang w:val="en-US"/>
        </w:rPr>
      </w:pPr>
      <w:r w:rsidRPr="00EB2E8B">
        <w:rPr>
          <w:rFonts w:ascii="Arial" w:hAnsi="Arial" w:cs="Arial"/>
          <w:color w:val="333333"/>
          <w:sz w:val="20"/>
          <w:szCs w:val="21"/>
          <w:lang w:val="en-US"/>
        </w:rPr>
        <w:t xml:space="preserve">In this contribution, we discuss the </w:t>
      </w:r>
      <w:r>
        <w:rPr>
          <w:rFonts w:ascii="Arial" w:hAnsi="Arial" w:cs="Arial"/>
          <w:color w:val="333333"/>
          <w:sz w:val="20"/>
          <w:szCs w:val="21"/>
          <w:lang w:val="en-US"/>
        </w:rPr>
        <w:t>impact of this addition, especially from UE capability point of view.</w:t>
      </w:r>
    </w:p>
    <w:p w14:paraId="08146620" w14:textId="77777777" w:rsidR="005A51AA" w:rsidRPr="00CE0424" w:rsidRDefault="005A51AA" w:rsidP="005A51AA">
      <w:pPr>
        <w:pStyle w:val="Heading1"/>
      </w:pPr>
      <w:bookmarkStart w:id="5" w:name="_Ref178064866"/>
      <w:bookmarkEnd w:id="4"/>
      <w:r w:rsidRPr="00CE0424">
        <w:t>Discussion</w:t>
      </w:r>
      <w:bookmarkEnd w:id="5"/>
    </w:p>
    <w:p w14:paraId="738EAC21" w14:textId="77777777" w:rsidR="00A40146" w:rsidRDefault="00A40146" w:rsidP="00A40146">
      <w:pPr>
        <w:pStyle w:val="IvDInstructiontext"/>
        <w:rPr>
          <w:rStyle w:val="BodyTextChar"/>
          <w:i w:val="0"/>
          <w:color w:val="auto"/>
          <w:sz w:val="20"/>
          <w:szCs w:val="20"/>
        </w:rPr>
      </w:pPr>
      <w:r>
        <w:rPr>
          <w:rStyle w:val="BodyTextChar"/>
          <w:i w:val="0"/>
          <w:color w:val="auto"/>
          <w:sz w:val="20"/>
          <w:szCs w:val="20"/>
        </w:rPr>
        <w:t>In LTE rel-15, there is a UE capability indicating whether a UE supports EN-DC or not as shown below:</w:t>
      </w:r>
    </w:p>
    <w:p w14:paraId="595C9E60" w14:textId="77777777" w:rsidR="00A40146" w:rsidRPr="00A40146" w:rsidRDefault="00A40146" w:rsidP="00A401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spacing w:val="2"/>
          <w:lang w:val="en-US" w:eastAsia="en-US"/>
        </w:rPr>
      </w:pPr>
    </w:p>
    <w:p w14:paraId="5134BDC3"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IRAT-ParametersNR-r15 ::=</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SEQUENCE {</w:t>
      </w:r>
    </w:p>
    <w:p w14:paraId="6F60C977"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r>
      <w:r w:rsidRPr="00A40146">
        <w:rPr>
          <w:rFonts w:ascii="Courier New" w:eastAsia="Batang" w:hAnsi="Courier New"/>
          <w:noProof/>
          <w:sz w:val="16"/>
          <w:highlight w:val="yellow"/>
          <w:lang w:eastAsia="sv-SE"/>
        </w:rPr>
        <w:t>en-DC-r15</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ENUMERATED {supported}</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OPTIONAL,</w:t>
      </w:r>
    </w:p>
    <w:p w14:paraId="6F1DBC16"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eventB2-r15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62C57A85"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supportedBandListEN-DC-r15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SupportedBandListNR-r15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4CFA3B20"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w:t>
      </w:r>
    </w:p>
    <w:p w14:paraId="5709C56A" w14:textId="77777777" w:rsidR="00A40146" w:rsidRDefault="00A40146" w:rsidP="003A11D1"/>
    <w:p w14:paraId="26D483C0" w14:textId="7D91A23C" w:rsidR="00322F21" w:rsidRDefault="00A40146" w:rsidP="003A11D1">
      <w:r w:rsidRPr="00A40146">
        <w:t>From this, the network will know whether the UE supports EN-DC or not, and thus will configure it for measurements/events related to EN-DC setup only if the UE supports it.</w:t>
      </w:r>
    </w:p>
    <w:p w14:paraId="44D36FDC" w14:textId="77777777" w:rsidR="00A40146" w:rsidRDefault="00A40146" w:rsidP="00A40146">
      <w:pPr>
        <w:pStyle w:val="Observation"/>
        <w:rPr>
          <w:lang w:val="en-US"/>
        </w:rPr>
      </w:pPr>
      <w:bookmarkStart w:id="6" w:name="_Toc7450439"/>
      <w:bookmarkStart w:id="7" w:name="_Toc7555780"/>
      <w:bookmarkStart w:id="8" w:name="_Toc16696421"/>
      <w:bookmarkStart w:id="9" w:name="_Toc16785623"/>
      <w:r>
        <w:rPr>
          <w:lang w:val="en-US"/>
        </w:rPr>
        <w:t>In LTE, there is a UE capability indicating UE’s support of EN-DC.</w:t>
      </w:r>
      <w:bookmarkEnd w:id="6"/>
      <w:bookmarkEnd w:id="7"/>
      <w:bookmarkEnd w:id="8"/>
      <w:bookmarkEnd w:id="9"/>
    </w:p>
    <w:p w14:paraId="40609E2C" w14:textId="081A9AE9" w:rsidR="00A40146" w:rsidRDefault="00A40146" w:rsidP="003A11D1"/>
    <w:p w14:paraId="718F5C24" w14:textId="77777777" w:rsidR="00A40146" w:rsidRDefault="00A40146" w:rsidP="00A40146">
      <w:pPr>
        <w:pStyle w:val="IvDInstructiontext"/>
        <w:rPr>
          <w:rStyle w:val="BodyTextChar"/>
          <w:i w:val="0"/>
          <w:color w:val="auto"/>
          <w:sz w:val="20"/>
          <w:szCs w:val="20"/>
        </w:rPr>
      </w:pPr>
      <w:r>
        <w:rPr>
          <w:rStyle w:val="BodyTextChar"/>
          <w:i w:val="0"/>
          <w:color w:val="auto"/>
          <w:sz w:val="20"/>
          <w:szCs w:val="20"/>
        </w:rPr>
        <w:t>Also, there are UE capability IEs indicating whether the UE supports idle mode measurements or not, as shown below:</w:t>
      </w:r>
    </w:p>
    <w:p w14:paraId="4A299137"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MeasParameters-v1530 ::=</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SEQUENCE {</w:t>
      </w:r>
    </w:p>
    <w:p w14:paraId="37B4B8AF"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qoe-MeasReport-r15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2B1DD2EA"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qoe-MTSI-MeasReport-r15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32311D78"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A40146">
        <w:rPr>
          <w:rFonts w:ascii="Courier New" w:eastAsia="Batang" w:hAnsi="Courier New"/>
          <w:noProof/>
          <w:sz w:val="16"/>
          <w:lang w:eastAsia="sv-SE"/>
        </w:rPr>
        <w:tab/>
      </w:r>
      <w:r w:rsidRPr="00A40146">
        <w:rPr>
          <w:rFonts w:ascii="Courier New" w:eastAsia="Batang" w:hAnsi="Courier New"/>
          <w:noProof/>
          <w:sz w:val="16"/>
          <w:highlight w:val="yellow"/>
          <w:lang w:eastAsia="sv-SE"/>
        </w:rPr>
        <w:t>ca-IdleModeMeasurements-r15</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ENUMERATED {supported}</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OPTIONAL,</w:t>
      </w:r>
    </w:p>
    <w:p w14:paraId="214462DB"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highlight w:val="yellow"/>
          <w:lang w:eastAsia="sv-SE"/>
        </w:rPr>
        <w:tab/>
        <w:t>ca-IdleModeValidityArea-r15</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ENUMERATED {supported}</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OPTIONAL,</w:t>
      </w:r>
    </w:p>
    <w:p w14:paraId="5791325D"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heightMeas-r15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78460C92"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multipleCellsMeasExtension-r15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325D47BC"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w:t>
      </w:r>
    </w:p>
    <w:p w14:paraId="7FB583D4" w14:textId="47F42417" w:rsidR="00A40146" w:rsidRDefault="00A40146" w:rsidP="003A11D1"/>
    <w:p w14:paraId="7C195840" w14:textId="63DB2B25" w:rsidR="00A40146" w:rsidRDefault="00A40146" w:rsidP="003A11D1">
      <w:r w:rsidRPr="00A40146">
        <w:t>This is also used by the network to decide to configure the UE with idle mode measurements or not.</w:t>
      </w:r>
    </w:p>
    <w:p w14:paraId="11C27FEF" w14:textId="77777777" w:rsidR="00A40146" w:rsidRDefault="00A40146" w:rsidP="00A40146">
      <w:pPr>
        <w:pStyle w:val="Observation"/>
        <w:rPr>
          <w:lang w:val="en-US"/>
        </w:rPr>
      </w:pPr>
      <w:bookmarkStart w:id="10" w:name="_Toc7450440"/>
      <w:bookmarkStart w:id="11" w:name="_Toc7555781"/>
      <w:bookmarkStart w:id="12" w:name="_Toc16696422"/>
      <w:bookmarkStart w:id="13" w:name="_Toc16785624"/>
      <w:r>
        <w:rPr>
          <w:lang w:val="en-US"/>
        </w:rPr>
        <w:t>In LTE, there is a UE capability indicating UE’s support of Idle mode measurements on E-UTRA frequencies.</w:t>
      </w:r>
      <w:bookmarkEnd w:id="10"/>
      <w:bookmarkEnd w:id="11"/>
      <w:bookmarkEnd w:id="12"/>
      <w:bookmarkEnd w:id="13"/>
    </w:p>
    <w:p w14:paraId="6A132998" w14:textId="32C27D21" w:rsidR="00A40146" w:rsidRDefault="00A40146" w:rsidP="003A11D1">
      <w:r w:rsidRPr="00A40146">
        <w:lastRenderedPageBreak/>
        <w:t>With the introduction of NR measurement in the idle mode measurement configuration of LTE rel-16, network could not be sure whether the UE will also support NR idle mode measurements in LTE just because UE has indicated EN-DC support. Thus, it is required to introduce a UE capability for indicating that UE supports performing idle mode NR measurements while in LTE.</w:t>
      </w:r>
    </w:p>
    <w:p w14:paraId="267ABBCA" w14:textId="77777777" w:rsidR="005F1E65" w:rsidRPr="00165C08" w:rsidRDefault="005F1E65" w:rsidP="005F1E65">
      <w:pPr>
        <w:pStyle w:val="Proposal"/>
        <w:tabs>
          <w:tab w:val="clear" w:pos="1304"/>
        </w:tabs>
        <w:spacing w:before="150" w:after="0"/>
        <w:ind w:left="1701" w:hanging="1701"/>
        <w:rPr>
          <w:rFonts w:cs="Arial"/>
          <w:color w:val="333333"/>
          <w:lang w:val="en-US"/>
        </w:rPr>
      </w:pPr>
      <w:bookmarkStart w:id="14" w:name="_Toc7450442"/>
      <w:bookmarkStart w:id="15" w:name="_Toc7555782"/>
      <w:bookmarkStart w:id="16" w:name="_Toc7556069"/>
      <w:bookmarkStart w:id="17" w:name="_Toc16696441"/>
      <w:bookmarkStart w:id="18" w:name="_Toc16785621"/>
      <w:bookmarkStart w:id="19" w:name="_Toc7438727"/>
      <w:r w:rsidRPr="00B6386A">
        <w:rPr>
          <w:rFonts w:cs="Arial"/>
        </w:rPr>
        <w:t>A new E-UTRA UE capability to be introduced to indicate UE supports idle mode NR measurements</w:t>
      </w:r>
      <w:r>
        <w:rPr>
          <w:rFonts w:cs="Arial"/>
        </w:rPr>
        <w:t xml:space="preserve"> while in LTE IDLE, IDLE with suspended or INACTIVE mode</w:t>
      </w:r>
      <w:r w:rsidRPr="00B6386A">
        <w:rPr>
          <w:rFonts w:cs="Arial"/>
        </w:rPr>
        <w:t>.</w:t>
      </w:r>
      <w:bookmarkEnd w:id="14"/>
      <w:bookmarkEnd w:id="15"/>
      <w:bookmarkEnd w:id="16"/>
      <w:bookmarkEnd w:id="17"/>
      <w:bookmarkEnd w:id="18"/>
    </w:p>
    <w:bookmarkEnd w:id="19"/>
    <w:p w14:paraId="5A6BA6C2" w14:textId="77777777" w:rsidR="00023ADC" w:rsidRDefault="00023ADC" w:rsidP="003A11D1"/>
    <w:p w14:paraId="4FB13A0F" w14:textId="6C8AA727" w:rsidR="001B55E7" w:rsidRPr="005F1E65" w:rsidRDefault="005F1E65" w:rsidP="005F1E65">
      <w:pPr>
        <w:rPr>
          <w:i/>
          <w:spacing w:val="2"/>
          <w:lang w:val="en-US" w:eastAsia="en-US"/>
        </w:rPr>
      </w:pPr>
      <w:r w:rsidRPr="005F1E65">
        <w:t>In NR rel-15, it has been agreed to have a capability indicating whether NE-DC is supported by the UE (R2-1902800)</w:t>
      </w:r>
    </w:p>
    <w:p w14:paraId="5D0D27FD"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EUTRA-Parameters ::=                </w:t>
      </w:r>
      <w:r w:rsidRPr="005F1E65">
        <w:rPr>
          <w:rFonts w:ascii="Courier New" w:eastAsia="Batang" w:hAnsi="Courier New"/>
          <w:noProof/>
          <w:color w:val="993366"/>
          <w:sz w:val="16"/>
          <w:lang w:eastAsia="sv-SE"/>
        </w:rPr>
        <w:t>SEQUENCE</w:t>
      </w:r>
      <w:r w:rsidRPr="005F1E65">
        <w:rPr>
          <w:rFonts w:ascii="Courier New" w:eastAsia="Batang" w:hAnsi="Courier New"/>
          <w:noProof/>
          <w:sz w:val="16"/>
          <w:lang w:eastAsia="sv-SE"/>
        </w:rPr>
        <w:t xml:space="preserve"> {</w:t>
      </w:r>
    </w:p>
    <w:p w14:paraId="5CC40D3E"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supportedBandListEUTRA          </w:t>
      </w:r>
      <w:r w:rsidRPr="005F1E65">
        <w:rPr>
          <w:rFonts w:ascii="Courier New" w:eastAsia="Batang" w:hAnsi="Courier New"/>
          <w:noProof/>
          <w:color w:val="993366"/>
          <w:sz w:val="16"/>
          <w:lang w:eastAsia="sv-SE"/>
        </w:rPr>
        <w:t>SEQUENCE</w:t>
      </w:r>
      <w:r w:rsidRPr="005F1E65">
        <w:rPr>
          <w:rFonts w:ascii="Courier New" w:eastAsia="Batang" w:hAnsi="Courier New"/>
          <w:noProof/>
          <w:sz w:val="16"/>
          <w:lang w:eastAsia="sv-SE"/>
        </w:rPr>
        <w:t xml:space="preserve"> (</w:t>
      </w:r>
      <w:r w:rsidRPr="005F1E65">
        <w:rPr>
          <w:rFonts w:ascii="Courier New" w:eastAsia="Batang" w:hAnsi="Courier New"/>
          <w:noProof/>
          <w:color w:val="993366"/>
          <w:sz w:val="16"/>
          <w:lang w:eastAsia="sv-SE"/>
        </w:rPr>
        <w:t>SIZE</w:t>
      </w:r>
      <w:r w:rsidRPr="005F1E65">
        <w:rPr>
          <w:rFonts w:ascii="Courier New" w:eastAsia="Batang" w:hAnsi="Courier New"/>
          <w:noProof/>
          <w:sz w:val="16"/>
          <w:lang w:eastAsia="sv-SE"/>
        </w:rPr>
        <w:t xml:space="preserve"> (1..maxBandsEUTRA))</w:t>
      </w:r>
      <w:r w:rsidRPr="005F1E65">
        <w:rPr>
          <w:rFonts w:ascii="Courier New" w:eastAsia="Batang" w:hAnsi="Courier New"/>
          <w:noProof/>
          <w:color w:val="993366"/>
          <w:sz w:val="16"/>
          <w:lang w:eastAsia="sv-SE"/>
        </w:rPr>
        <w:t xml:space="preserve"> OF</w:t>
      </w:r>
      <w:r w:rsidRPr="005F1E65">
        <w:rPr>
          <w:rFonts w:ascii="Courier New" w:eastAsia="Batang" w:hAnsi="Courier New"/>
          <w:noProof/>
          <w:sz w:val="16"/>
          <w:lang w:eastAsia="sv-SE"/>
        </w:rPr>
        <w:t xml:space="preserve"> FreqBandIndicatorEUTRA,</w:t>
      </w:r>
    </w:p>
    <w:p w14:paraId="683CF8C9"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eutra-ParametersCommon          EUTRA-ParametersCommon         </w:t>
      </w:r>
      <w:r w:rsidRPr="005F1E65">
        <w:rPr>
          <w:rFonts w:ascii="Courier New" w:eastAsia="Batang" w:hAnsi="Courier New"/>
          <w:noProof/>
          <w:color w:val="993366"/>
          <w:sz w:val="16"/>
          <w:lang w:eastAsia="sv-SE"/>
        </w:rPr>
        <w:t>OPTIONAL</w:t>
      </w:r>
      <w:r w:rsidRPr="005F1E65">
        <w:rPr>
          <w:rFonts w:ascii="Courier New" w:eastAsia="Batang" w:hAnsi="Courier New"/>
          <w:noProof/>
          <w:sz w:val="16"/>
          <w:lang w:eastAsia="sv-SE"/>
        </w:rPr>
        <w:t>,</w:t>
      </w:r>
    </w:p>
    <w:p w14:paraId="06211B21"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eutra-ParametersXDD-Diff            EUTRA-ParametersXDD-Diff   </w:t>
      </w:r>
      <w:r w:rsidRPr="005F1E65">
        <w:rPr>
          <w:rFonts w:ascii="Courier New" w:eastAsia="Batang" w:hAnsi="Courier New"/>
          <w:noProof/>
          <w:color w:val="993366"/>
          <w:sz w:val="16"/>
          <w:lang w:eastAsia="sv-SE"/>
        </w:rPr>
        <w:t>OPTIONAL</w:t>
      </w:r>
      <w:r w:rsidRPr="005F1E65">
        <w:rPr>
          <w:rFonts w:ascii="Courier New" w:eastAsia="Batang" w:hAnsi="Courier New"/>
          <w:noProof/>
          <w:sz w:val="16"/>
          <w:lang w:eastAsia="sv-SE"/>
        </w:rPr>
        <w:t>,</w:t>
      </w:r>
    </w:p>
    <w:p w14:paraId="3F1A67E0"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 ,</w:t>
      </w:r>
    </w:p>
    <w:p w14:paraId="730FE0A0"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 </w:t>
      </w:r>
    </w:p>
    <w:p w14:paraId="43295BAD"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w:t>
      </w:r>
      <w:r w:rsidRPr="005F1E65">
        <w:rPr>
          <w:rFonts w:ascii="Courier New" w:eastAsia="Batang" w:hAnsi="Courier New"/>
          <w:noProof/>
          <w:sz w:val="16"/>
          <w:highlight w:val="yellow"/>
          <w:lang w:eastAsia="sv-SE"/>
        </w:rPr>
        <w:t xml:space="preserve">ne-DC    </w:t>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t xml:space="preserve">    </w:t>
      </w:r>
      <w:r w:rsidRPr="005F1E65">
        <w:rPr>
          <w:rFonts w:ascii="Courier New" w:eastAsia="Batang" w:hAnsi="Courier New"/>
          <w:noProof/>
          <w:color w:val="993366"/>
          <w:sz w:val="16"/>
          <w:highlight w:val="yellow"/>
          <w:lang w:eastAsia="sv-SE"/>
        </w:rPr>
        <w:t>ENUMERATED</w:t>
      </w:r>
      <w:r w:rsidRPr="005F1E65">
        <w:rPr>
          <w:rFonts w:ascii="Courier New" w:eastAsia="Batang" w:hAnsi="Courier New"/>
          <w:noProof/>
          <w:sz w:val="16"/>
          <w:highlight w:val="yellow"/>
          <w:lang w:eastAsia="sv-SE"/>
        </w:rPr>
        <w:t xml:space="preserve"> {supported}</w:t>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color w:val="993366"/>
          <w:sz w:val="16"/>
          <w:highlight w:val="yellow"/>
          <w:lang w:eastAsia="sv-SE"/>
        </w:rPr>
        <w:t>OPTIONAL</w:t>
      </w:r>
    </w:p>
    <w:p w14:paraId="24AED7F0"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ab/>
        <w:t>]]</w:t>
      </w:r>
    </w:p>
    <w:p w14:paraId="629ECEBA"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w:t>
      </w:r>
    </w:p>
    <w:p w14:paraId="016DACC9" w14:textId="77777777" w:rsidR="005F1E65" w:rsidRPr="005F1E65" w:rsidRDefault="005F1E65" w:rsidP="005F1E65">
      <w:pPr>
        <w:spacing w:after="180"/>
        <w:jc w:val="left"/>
        <w:rPr>
          <w:rFonts w:ascii="Times New Roman" w:hAnsi="Times New Roman"/>
          <w:lang w:val="en-US" w:eastAsia="ja-JP"/>
        </w:rPr>
      </w:pPr>
    </w:p>
    <w:p w14:paraId="678A4E1E" w14:textId="77777777" w:rsidR="005F1E65" w:rsidRPr="005F1E65" w:rsidRDefault="005F1E65" w:rsidP="005F1E65">
      <w:pPr>
        <w:numPr>
          <w:ilvl w:val="0"/>
          <w:numId w:val="13"/>
        </w:numPr>
        <w:tabs>
          <w:tab w:val="left" w:pos="1701"/>
        </w:tabs>
        <w:spacing w:after="180"/>
        <w:ind w:left="1701" w:hanging="1701"/>
        <w:jc w:val="left"/>
        <w:rPr>
          <w:b/>
          <w:bCs/>
          <w:lang w:val="en-US" w:eastAsia="ja-JP"/>
        </w:rPr>
      </w:pPr>
      <w:bookmarkStart w:id="20" w:name="_Toc7450441"/>
      <w:r w:rsidRPr="005F1E65">
        <w:rPr>
          <w:b/>
          <w:bCs/>
          <w:lang w:val="en-US" w:eastAsia="ja-JP"/>
        </w:rPr>
        <w:t>In NR, there is a UE capability indicating UE’s support of NE-DC.</w:t>
      </w:r>
      <w:bookmarkEnd w:id="20"/>
    </w:p>
    <w:p w14:paraId="32799B1C" w14:textId="64E328FF" w:rsidR="00A40146" w:rsidRDefault="003054FC" w:rsidP="003A11D1">
      <w:r w:rsidRPr="003054FC">
        <w:t>For measurements in NR IDLE or INACTIVE modes, both LTE and NR measurements could also be configured. Since idle mode measurements are not supported yet in NR, there are no NR capabilities defined for it. However, it is natural to assume NR capabilities related to idle mode measurements will be required also for NR. In line with the observations/proposal above for LTE, we propose to align the capability definitions in NR as well.</w:t>
      </w:r>
    </w:p>
    <w:p w14:paraId="1D8EF133" w14:textId="77777777" w:rsidR="003054FC" w:rsidRPr="00436979" w:rsidRDefault="003054FC" w:rsidP="003054FC">
      <w:pPr>
        <w:pStyle w:val="Proposal"/>
        <w:tabs>
          <w:tab w:val="clear" w:pos="1304"/>
        </w:tabs>
        <w:spacing w:before="150" w:after="0"/>
        <w:ind w:left="1701" w:hanging="1701"/>
        <w:rPr>
          <w:rFonts w:cs="Arial"/>
          <w:color w:val="333333"/>
          <w:lang w:val="en-US"/>
        </w:rPr>
      </w:pPr>
      <w:bookmarkStart w:id="21" w:name="_Toc7450443"/>
      <w:bookmarkStart w:id="22" w:name="_Toc16696442"/>
      <w:bookmarkStart w:id="23" w:name="_Toc16785622"/>
      <w:bookmarkStart w:id="24" w:name="_Toc7555783"/>
      <w:bookmarkStart w:id="25" w:name="_Toc7556071"/>
      <w:r>
        <w:rPr>
          <w:rFonts w:cs="Arial"/>
        </w:rPr>
        <w:t xml:space="preserve">Two NR </w:t>
      </w:r>
      <w:r w:rsidRPr="00B6386A">
        <w:rPr>
          <w:rFonts w:cs="Arial"/>
        </w:rPr>
        <w:t>UE capabilit</w:t>
      </w:r>
      <w:r>
        <w:rPr>
          <w:rFonts w:cs="Arial"/>
        </w:rPr>
        <w:t xml:space="preserve">ies to be </w:t>
      </w:r>
      <w:r w:rsidRPr="00B6386A">
        <w:rPr>
          <w:rFonts w:cs="Arial"/>
        </w:rPr>
        <w:t>introduced to indicate</w:t>
      </w:r>
      <w:r>
        <w:rPr>
          <w:rFonts w:cs="Arial"/>
        </w:rPr>
        <w:t xml:space="preserve"> 1) support of NR idle mode measurements and 2) support of LTE idle mode measurements</w:t>
      </w:r>
      <w:bookmarkEnd w:id="21"/>
      <w:bookmarkEnd w:id="22"/>
      <w:bookmarkEnd w:id="23"/>
      <w:r>
        <w:rPr>
          <w:rFonts w:cs="Arial"/>
        </w:rPr>
        <w:t xml:space="preserve"> </w:t>
      </w:r>
      <w:bookmarkEnd w:id="24"/>
      <w:bookmarkEnd w:id="25"/>
    </w:p>
    <w:p w14:paraId="063B1067" w14:textId="77777777" w:rsidR="00A40146" w:rsidRPr="007C4FEB" w:rsidRDefault="00A40146" w:rsidP="003A11D1"/>
    <w:p w14:paraId="24F664C2" w14:textId="5A629527" w:rsidR="002A4F4E" w:rsidRPr="00CE0424" w:rsidRDefault="002A4F4E" w:rsidP="002A4F4E">
      <w:pPr>
        <w:pStyle w:val="Heading1"/>
      </w:pPr>
      <w:r w:rsidRPr="00CE0424">
        <w:t>Conclusion</w:t>
      </w:r>
    </w:p>
    <w:p w14:paraId="288768C5" w14:textId="77777777" w:rsidR="00233D8F"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DCB1352" w14:textId="77777777" w:rsidR="00233D8F" w:rsidRDefault="00233D8F">
      <w:pPr>
        <w:pStyle w:val="TOC1"/>
        <w:rPr>
          <w:rFonts w:asciiTheme="minorHAnsi" w:eastAsiaTheme="minorEastAsia" w:hAnsiTheme="minorHAnsi" w:cstheme="minorBidi"/>
          <w:b w:val="0"/>
          <w:sz w:val="22"/>
          <w:lang w:val="sv-SE" w:eastAsia="sv-SE"/>
        </w:rPr>
      </w:pPr>
      <w:r w:rsidRPr="00132E2A">
        <w:t>Observation 1</w:t>
      </w:r>
      <w:r>
        <w:rPr>
          <w:rFonts w:asciiTheme="minorHAnsi" w:eastAsiaTheme="minorEastAsia" w:hAnsiTheme="minorHAnsi" w:cstheme="minorBidi"/>
          <w:b w:val="0"/>
          <w:sz w:val="22"/>
          <w:lang w:val="sv-SE" w:eastAsia="sv-SE"/>
        </w:rPr>
        <w:tab/>
      </w:r>
      <w:r w:rsidRPr="00132E2A">
        <w:t>In LTE, there is a UE capability indicating UE’s support of EN-DC.</w:t>
      </w:r>
    </w:p>
    <w:p w14:paraId="22B1351D" w14:textId="77777777" w:rsidR="00233D8F" w:rsidRDefault="00233D8F">
      <w:pPr>
        <w:pStyle w:val="TOC1"/>
        <w:rPr>
          <w:rFonts w:asciiTheme="minorHAnsi" w:eastAsiaTheme="minorEastAsia" w:hAnsiTheme="minorHAnsi" w:cstheme="minorBidi"/>
          <w:b w:val="0"/>
          <w:sz w:val="22"/>
          <w:lang w:val="sv-SE" w:eastAsia="sv-SE"/>
        </w:rPr>
      </w:pPr>
      <w:r w:rsidRPr="00132E2A">
        <w:t>Observation 2</w:t>
      </w:r>
      <w:r>
        <w:rPr>
          <w:rFonts w:asciiTheme="minorHAnsi" w:eastAsiaTheme="minorEastAsia" w:hAnsiTheme="minorHAnsi" w:cstheme="minorBidi"/>
          <w:b w:val="0"/>
          <w:sz w:val="22"/>
          <w:lang w:val="sv-SE" w:eastAsia="sv-SE"/>
        </w:rPr>
        <w:tab/>
      </w:r>
      <w:r w:rsidRPr="00132E2A">
        <w:t>In LTE, there is a UE capability indicating UE’s support of Idle mode measurements on E-UTRA frequencies.</w:t>
      </w:r>
    </w:p>
    <w:p w14:paraId="5C7C7AE6" w14:textId="7032A04B" w:rsidR="000C2342" w:rsidRDefault="000C2342" w:rsidP="000C2342">
      <w:pPr>
        <w:pStyle w:val="BodyText"/>
        <w:rPr>
          <w:b/>
          <w:bCs/>
        </w:rPr>
      </w:pPr>
      <w:r>
        <w:rPr>
          <w:b/>
          <w:bCs/>
        </w:rPr>
        <w:fldChar w:fldCharType="end"/>
      </w:r>
    </w:p>
    <w:p w14:paraId="310DFC65" w14:textId="77777777" w:rsidR="00233D8F"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009875E1" w14:textId="77777777" w:rsidR="00233D8F" w:rsidRDefault="00233D8F">
      <w:pPr>
        <w:pStyle w:val="TOC1"/>
        <w:rPr>
          <w:rFonts w:asciiTheme="minorHAnsi" w:eastAsiaTheme="minorEastAsia" w:hAnsiTheme="minorHAnsi" w:cstheme="minorBidi"/>
          <w:b w:val="0"/>
          <w:sz w:val="22"/>
          <w:lang w:val="sv-SE" w:eastAsia="sv-SE"/>
        </w:rPr>
      </w:pPr>
      <w:r w:rsidRPr="00E56DB0">
        <w:rPr>
          <w:rFonts w:cs="Arial"/>
          <w:color w:val="333333"/>
        </w:rPr>
        <w:t>Proposal 1</w:t>
      </w:r>
      <w:r>
        <w:rPr>
          <w:rFonts w:asciiTheme="minorHAnsi" w:eastAsiaTheme="minorEastAsia" w:hAnsiTheme="minorHAnsi" w:cstheme="minorBidi"/>
          <w:b w:val="0"/>
          <w:sz w:val="22"/>
          <w:lang w:val="sv-SE" w:eastAsia="sv-SE"/>
        </w:rPr>
        <w:tab/>
      </w:r>
      <w:r w:rsidRPr="00E56DB0">
        <w:rPr>
          <w:rFonts w:cs="Arial"/>
        </w:rPr>
        <w:t>A new E-UTRA UE capability to be introduced to indicate UE supports idle mode NR measurements while in LTE IDLE, IDLE with suspended or INACTIVE mode.</w:t>
      </w:r>
    </w:p>
    <w:p w14:paraId="73EEDB47" w14:textId="77777777" w:rsidR="00233D8F" w:rsidRDefault="00233D8F">
      <w:pPr>
        <w:pStyle w:val="TOC1"/>
        <w:rPr>
          <w:rFonts w:asciiTheme="minorHAnsi" w:eastAsiaTheme="minorEastAsia" w:hAnsiTheme="minorHAnsi" w:cstheme="minorBidi"/>
          <w:b w:val="0"/>
          <w:sz w:val="22"/>
          <w:lang w:val="sv-SE" w:eastAsia="sv-SE"/>
        </w:rPr>
      </w:pPr>
      <w:r w:rsidRPr="00E56DB0">
        <w:rPr>
          <w:rFonts w:cs="Arial"/>
          <w:color w:val="333333"/>
        </w:rPr>
        <w:t>Proposal 2</w:t>
      </w:r>
      <w:r>
        <w:rPr>
          <w:rFonts w:asciiTheme="minorHAnsi" w:eastAsiaTheme="minorEastAsia" w:hAnsiTheme="minorHAnsi" w:cstheme="minorBidi"/>
          <w:b w:val="0"/>
          <w:sz w:val="22"/>
          <w:lang w:val="sv-SE" w:eastAsia="sv-SE"/>
        </w:rPr>
        <w:tab/>
      </w:r>
      <w:r w:rsidRPr="00E56DB0">
        <w:rPr>
          <w:rFonts w:cs="Arial"/>
        </w:rPr>
        <w:t>Two NR UE capabilities to be introduced to indicate 1) support of NR idle mode measurements and 2) support of LTE idle mode measurements</w:t>
      </w:r>
    </w:p>
    <w:p w14:paraId="5AFEFD9D" w14:textId="070D1A57" w:rsidR="00992096" w:rsidRPr="00BA3DB5" w:rsidRDefault="000C2342" w:rsidP="00DF03EA">
      <w:pPr>
        <w:rPr>
          <w:rFonts w:ascii="Times New Roman" w:hAnsi="Times New Roman"/>
          <w:lang w:eastAsia="ja-JP"/>
        </w:rPr>
      </w:pPr>
      <w:r w:rsidRPr="00B72C6B">
        <w:fldChar w:fldCharType="end"/>
      </w:r>
    </w:p>
    <w:sectPr w:rsidR="00992096" w:rsidRPr="00BA3DB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5A2A5" w14:textId="77777777" w:rsidR="007B421F" w:rsidRDefault="007B421F">
      <w:r>
        <w:separator/>
      </w:r>
    </w:p>
  </w:endnote>
  <w:endnote w:type="continuationSeparator" w:id="0">
    <w:p w14:paraId="006B0E62" w14:textId="77777777" w:rsidR="007B421F" w:rsidRDefault="007B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662D8" w14:textId="77777777" w:rsidR="007B421F" w:rsidRDefault="007B421F">
      <w:r>
        <w:separator/>
      </w:r>
    </w:p>
  </w:footnote>
  <w:footnote w:type="continuationSeparator" w:id="0">
    <w:p w14:paraId="127D1187" w14:textId="77777777" w:rsidR="007B421F" w:rsidRDefault="007B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49DC0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8249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222223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3ADC"/>
    <w:rsid w:val="0002564D"/>
    <w:rsid w:val="00025ECA"/>
    <w:rsid w:val="00027939"/>
    <w:rsid w:val="000325B8"/>
    <w:rsid w:val="00032C93"/>
    <w:rsid w:val="00033C0A"/>
    <w:rsid w:val="00034165"/>
    <w:rsid w:val="00034C15"/>
    <w:rsid w:val="00036BA1"/>
    <w:rsid w:val="000422E2"/>
    <w:rsid w:val="00042D76"/>
    <w:rsid w:val="00042F22"/>
    <w:rsid w:val="00044107"/>
    <w:rsid w:val="00044271"/>
    <w:rsid w:val="000442AC"/>
    <w:rsid w:val="000444EF"/>
    <w:rsid w:val="00052A07"/>
    <w:rsid w:val="000534E3"/>
    <w:rsid w:val="00053C8C"/>
    <w:rsid w:val="0005606A"/>
    <w:rsid w:val="00056635"/>
    <w:rsid w:val="00057117"/>
    <w:rsid w:val="000616E7"/>
    <w:rsid w:val="0006408C"/>
    <w:rsid w:val="0006487E"/>
    <w:rsid w:val="00065E1A"/>
    <w:rsid w:val="00070160"/>
    <w:rsid w:val="00075393"/>
    <w:rsid w:val="000767A0"/>
    <w:rsid w:val="00077421"/>
    <w:rsid w:val="00077E5F"/>
    <w:rsid w:val="0008036A"/>
    <w:rsid w:val="00081AE6"/>
    <w:rsid w:val="000855EB"/>
    <w:rsid w:val="00085B52"/>
    <w:rsid w:val="000866F2"/>
    <w:rsid w:val="00086C5D"/>
    <w:rsid w:val="0009009F"/>
    <w:rsid w:val="00091557"/>
    <w:rsid w:val="000924C1"/>
    <w:rsid w:val="000924F0"/>
    <w:rsid w:val="00093474"/>
    <w:rsid w:val="000936ED"/>
    <w:rsid w:val="00093F73"/>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16AA3"/>
    <w:rsid w:val="00120810"/>
    <w:rsid w:val="001219F5"/>
    <w:rsid w:val="00121A20"/>
    <w:rsid w:val="00122F2E"/>
    <w:rsid w:val="0012377F"/>
    <w:rsid w:val="00124314"/>
    <w:rsid w:val="00125072"/>
    <w:rsid w:val="0012596A"/>
    <w:rsid w:val="0012656F"/>
    <w:rsid w:val="00126B4A"/>
    <w:rsid w:val="001327C2"/>
    <w:rsid w:val="00132FD0"/>
    <w:rsid w:val="00134435"/>
    <w:rsid w:val="001344C0"/>
    <w:rsid w:val="001346FA"/>
    <w:rsid w:val="00135252"/>
    <w:rsid w:val="00136A4E"/>
    <w:rsid w:val="00137AB5"/>
    <w:rsid w:val="00137F0B"/>
    <w:rsid w:val="00144EE3"/>
    <w:rsid w:val="00151E23"/>
    <w:rsid w:val="001526E0"/>
    <w:rsid w:val="00153940"/>
    <w:rsid w:val="001551B5"/>
    <w:rsid w:val="001614E6"/>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5345"/>
    <w:rsid w:val="00190AC1"/>
    <w:rsid w:val="0019341A"/>
    <w:rsid w:val="001945DE"/>
    <w:rsid w:val="00196A87"/>
    <w:rsid w:val="00197DF9"/>
    <w:rsid w:val="001A04FF"/>
    <w:rsid w:val="001A0568"/>
    <w:rsid w:val="001A1987"/>
    <w:rsid w:val="001A2564"/>
    <w:rsid w:val="001A6173"/>
    <w:rsid w:val="001A6CBA"/>
    <w:rsid w:val="001A7738"/>
    <w:rsid w:val="001B0D97"/>
    <w:rsid w:val="001B14DD"/>
    <w:rsid w:val="001B204C"/>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2B61"/>
    <w:rsid w:val="00213035"/>
    <w:rsid w:val="00213ADC"/>
    <w:rsid w:val="0021477A"/>
    <w:rsid w:val="00214DA8"/>
    <w:rsid w:val="00215423"/>
    <w:rsid w:val="002158FA"/>
    <w:rsid w:val="00216703"/>
    <w:rsid w:val="00216823"/>
    <w:rsid w:val="00220600"/>
    <w:rsid w:val="002224DB"/>
    <w:rsid w:val="00223FCB"/>
    <w:rsid w:val="00224C32"/>
    <w:rsid w:val="002251A8"/>
    <w:rsid w:val="002252C3"/>
    <w:rsid w:val="00225C54"/>
    <w:rsid w:val="002302F2"/>
    <w:rsid w:val="0023054E"/>
    <w:rsid w:val="00230765"/>
    <w:rsid w:val="00230D68"/>
    <w:rsid w:val="002319E4"/>
    <w:rsid w:val="00233C56"/>
    <w:rsid w:val="00233D8F"/>
    <w:rsid w:val="00235632"/>
    <w:rsid w:val="00235872"/>
    <w:rsid w:val="00241559"/>
    <w:rsid w:val="00241663"/>
    <w:rsid w:val="002435B3"/>
    <w:rsid w:val="00243B86"/>
    <w:rsid w:val="002458EB"/>
    <w:rsid w:val="00245BE1"/>
    <w:rsid w:val="00246AA7"/>
    <w:rsid w:val="00247178"/>
    <w:rsid w:val="002500C8"/>
    <w:rsid w:val="0025365A"/>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74CDA"/>
    <w:rsid w:val="002805F5"/>
    <w:rsid w:val="00280751"/>
    <w:rsid w:val="0028280A"/>
    <w:rsid w:val="002828D7"/>
    <w:rsid w:val="00283030"/>
    <w:rsid w:val="002851E6"/>
    <w:rsid w:val="002854FF"/>
    <w:rsid w:val="00285E44"/>
    <w:rsid w:val="00286ACD"/>
    <w:rsid w:val="00287838"/>
    <w:rsid w:val="00290638"/>
    <w:rsid w:val="002907B5"/>
    <w:rsid w:val="002917F3"/>
    <w:rsid w:val="00292EB7"/>
    <w:rsid w:val="00295691"/>
    <w:rsid w:val="00296227"/>
    <w:rsid w:val="00296F44"/>
    <w:rsid w:val="0029777D"/>
    <w:rsid w:val="002A00C2"/>
    <w:rsid w:val="002A055E"/>
    <w:rsid w:val="002A1D4E"/>
    <w:rsid w:val="002A2869"/>
    <w:rsid w:val="002A3E44"/>
    <w:rsid w:val="002A3F20"/>
    <w:rsid w:val="002A4F4E"/>
    <w:rsid w:val="002A5EA1"/>
    <w:rsid w:val="002B0375"/>
    <w:rsid w:val="002B24D6"/>
    <w:rsid w:val="002B4622"/>
    <w:rsid w:val="002C1896"/>
    <w:rsid w:val="002C41E6"/>
    <w:rsid w:val="002C60CE"/>
    <w:rsid w:val="002D071A"/>
    <w:rsid w:val="002D0F3A"/>
    <w:rsid w:val="002D2629"/>
    <w:rsid w:val="002D34B2"/>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54FC"/>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66E"/>
    <w:rsid w:val="003477B1"/>
    <w:rsid w:val="00347922"/>
    <w:rsid w:val="00350E39"/>
    <w:rsid w:val="0035482C"/>
    <w:rsid w:val="0035547E"/>
    <w:rsid w:val="003557EB"/>
    <w:rsid w:val="00355E4E"/>
    <w:rsid w:val="00356C5D"/>
    <w:rsid w:val="00357380"/>
    <w:rsid w:val="00357F23"/>
    <w:rsid w:val="003602D9"/>
    <w:rsid w:val="003604CE"/>
    <w:rsid w:val="003627E9"/>
    <w:rsid w:val="00370639"/>
    <w:rsid w:val="003708B2"/>
    <w:rsid w:val="00370E47"/>
    <w:rsid w:val="003742AC"/>
    <w:rsid w:val="00374F16"/>
    <w:rsid w:val="00377CE1"/>
    <w:rsid w:val="003801BE"/>
    <w:rsid w:val="003811EC"/>
    <w:rsid w:val="0038577C"/>
    <w:rsid w:val="00385BF0"/>
    <w:rsid w:val="00391E1F"/>
    <w:rsid w:val="003932D9"/>
    <w:rsid w:val="003939FF"/>
    <w:rsid w:val="0039798A"/>
    <w:rsid w:val="003A11D1"/>
    <w:rsid w:val="003A2223"/>
    <w:rsid w:val="003A237A"/>
    <w:rsid w:val="003A2A0F"/>
    <w:rsid w:val="003A3AD2"/>
    <w:rsid w:val="003A432E"/>
    <w:rsid w:val="003A45A1"/>
    <w:rsid w:val="003A5B0A"/>
    <w:rsid w:val="003A6BAC"/>
    <w:rsid w:val="003A7EF3"/>
    <w:rsid w:val="003B159C"/>
    <w:rsid w:val="003B2947"/>
    <w:rsid w:val="003B369F"/>
    <w:rsid w:val="003B36A3"/>
    <w:rsid w:val="003B7FE5"/>
    <w:rsid w:val="003C11C8"/>
    <w:rsid w:val="003C184C"/>
    <w:rsid w:val="003C2702"/>
    <w:rsid w:val="003C4A3B"/>
    <w:rsid w:val="003C723A"/>
    <w:rsid w:val="003C7806"/>
    <w:rsid w:val="003D109F"/>
    <w:rsid w:val="003D1B76"/>
    <w:rsid w:val="003D2478"/>
    <w:rsid w:val="003D28CC"/>
    <w:rsid w:val="003D2FC4"/>
    <w:rsid w:val="003D3C45"/>
    <w:rsid w:val="003D4F7D"/>
    <w:rsid w:val="003D582D"/>
    <w:rsid w:val="003D5B1F"/>
    <w:rsid w:val="003D60C7"/>
    <w:rsid w:val="003E15FA"/>
    <w:rsid w:val="003E1F3D"/>
    <w:rsid w:val="003E55E4"/>
    <w:rsid w:val="003E5FB3"/>
    <w:rsid w:val="003E66B6"/>
    <w:rsid w:val="003E720A"/>
    <w:rsid w:val="003E74E3"/>
    <w:rsid w:val="003E76C9"/>
    <w:rsid w:val="003F05C7"/>
    <w:rsid w:val="003F0F3E"/>
    <w:rsid w:val="003F26A8"/>
    <w:rsid w:val="003F2CD4"/>
    <w:rsid w:val="003F6BBE"/>
    <w:rsid w:val="004000E8"/>
    <w:rsid w:val="00402E2B"/>
    <w:rsid w:val="004030ED"/>
    <w:rsid w:val="00403A32"/>
    <w:rsid w:val="0040512B"/>
    <w:rsid w:val="00405CA5"/>
    <w:rsid w:val="00407CD3"/>
    <w:rsid w:val="00410134"/>
    <w:rsid w:val="00410B72"/>
    <w:rsid w:val="00410D2A"/>
    <w:rsid w:val="00410EAB"/>
    <w:rsid w:val="00410F18"/>
    <w:rsid w:val="0041263E"/>
    <w:rsid w:val="00413AAC"/>
    <w:rsid w:val="00413AFF"/>
    <w:rsid w:val="00420D0D"/>
    <w:rsid w:val="00421105"/>
    <w:rsid w:val="0042166E"/>
    <w:rsid w:val="004242F4"/>
    <w:rsid w:val="00427248"/>
    <w:rsid w:val="004311E4"/>
    <w:rsid w:val="00437447"/>
    <w:rsid w:val="00441A92"/>
    <w:rsid w:val="00444F56"/>
    <w:rsid w:val="00446488"/>
    <w:rsid w:val="004517AA"/>
    <w:rsid w:val="00452CAC"/>
    <w:rsid w:val="00457565"/>
    <w:rsid w:val="00457B71"/>
    <w:rsid w:val="00461F34"/>
    <w:rsid w:val="00465F3A"/>
    <w:rsid w:val="004669E2"/>
    <w:rsid w:val="004676BC"/>
    <w:rsid w:val="00467C98"/>
    <w:rsid w:val="00470C31"/>
    <w:rsid w:val="0047141B"/>
    <w:rsid w:val="004734D0"/>
    <w:rsid w:val="00474AC0"/>
    <w:rsid w:val="0047556B"/>
    <w:rsid w:val="00477768"/>
    <w:rsid w:val="004827E7"/>
    <w:rsid w:val="00483068"/>
    <w:rsid w:val="004852D8"/>
    <w:rsid w:val="00490242"/>
    <w:rsid w:val="004905C4"/>
    <w:rsid w:val="00491206"/>
    <w:rsid w:val="00492BC5"/>
    <w:rsid w:val="00494085"/>
    <w:rsid w:val="004964F1"/>
    <w:rsid w:val="0049754C"/>
    <w:rsid w:val="004A16BC"/>
    <w:rsid w:val="004A2B94"/>
    <w:rsid w:val="004A4932"/>
    <w:rsid w:val="004B1E9F"/>
    <w:rsid w:val="004B24A5"/>
    <w:rsid w:val="004B43EC"/>
    <w:rsid w:val="004B7C0C"/>
    <w:rsid w:val="004B7C0F"/>
    <w:rsid w:val="004C1629"/>
    <w:rsid w:val="004C2D02"/>
    <w:rsid w:val="004C3898"/>
    <w:rsid w:val="004D008D"/>
    <w:rsid w:val="004D0D9A"/>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5CA"/>
    <w:rsid w:val="005338D0"/>
    <w:rsid w:val="00534474"/>
    <w:rsid w:val="00534B59"/>
    <w:rsid w:val="00536759"/>
    <w:rsid w:val="00537C62"/>
    <w:rsid w:val="00540458"/>
    <w:rsid w:val="005452F7"/>
    <w:rsid w:val="00546970"/>
    <w:rsid w:val="00551F2C"/>
    <w:rsid w:val="00552703"/>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98C"/>
    <w:rsid w:val="005900FA"/>
    <w:rsid w:val="00590B05"/>
    <w:rsid w:val="0059181D"/>
    <w:rsid w:val="005935A4"/>
    <w:rsid w:val="00593E21"/>
    <w:rsid w:val="005948C2"/>
    <w:rsid w:val="0059583D"/>
    <w:rsid w:val="00595DCA"/>
    <w:rsid w:val="005965AB"/>
    <w:rsid w:val="00596984"/>
    <w:rsid w:val="0059779B"/>
    <w:rsid w:val="00597ABC"/>
    <w:rsid w:val="005A0A71"/>
    <w:rsid w:val="005A209A"/>
    <w:rsid w:val="005A51AA"/>
    <w:rsid w:val="005A567C"/>
    <w:rsid w:val="005A646E"/>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4C4D"/>
    <w:rsid w:val="005E5B81"/>
    <w:rsid w:val="005F16AA"/>
    <w:rsid w:val="005F1E65"/>
    <w:rsid w:val="005F2CB1"/>
    <w:rsid w:val="005F3025"/>
    <w:rsid w:val="005F4D03"/>
    <w:rsid w:val="005F618C"/>
    <w:rsid w:val="005F67D3"/>
    <w:rsid w:val="005F70BD"/>
    <w:rsid w:val="005F73B5"/>
    <w:rsid w:val="00601689"/>
    <w:rsid w:val="0060283C"/>
    <w:rsid w:val="00603452"/>
    <w:rsid w:val="006046FB"/>
    <w:rsid w:val="00604F14"/>
    <w:rsid w:val="00605F62"/>
    <w:rsid w:val="00607E7B"/>
    <w:rsid w:val="00611B83"/>
    <w:rsid w:val="00613257"/>
    <w:rsid w:val="00617201"/>
    <w:rsid w:val="00617252"/>
    <w:rsid w:val="00620A71"/>
    <w:rsid w:val="00620D80"/>
    <w:rsid w:val="00623044"/>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3FAA"/>
    <w:rsid w:val="00645060"/>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0DD3"/>
    <w:rsid w:val="00681003"/>
    <w:rsid w:val="006817C9"/>
    <w:rsid w:val="006827FD"/>
    <w:rsid w:val="00683ECE"/>
    <w:rsid w:val="00684249"/>
    <w:rsid w:val="00687437"/>
    <w:rsid w:val="00690C49"/>
    <w:rsid w:val="00695FC2"/>
    <w:rsid w:val="00696949"/>
    <w:rsid w:val="00696E9F"/>
    <w:rsid w:val="00697052"/>
    <w:rsid w:val="006A46FB"/>
    <w:rsid w:val="006A5E28"/>
    <w:rsid w:val="006A697B"/>
    <w:rsid w:val="006A79A4"/>
    <w:rsid w:val="006A7A4E"/>
    <w:rsid w:val="006A7AFF"/>
    <w:rsid w:val="006B1816"/>
    <w:rsid w:val="006B2099"/>
    <w:rsid w:val="006B21F2"/>
    <w:rsid w:val="006B2D58"/>
    <w:rsid w:val="006B50CF"/>
    <w:rsid w:val="006C0125"/>
    <w:rsid w:val="006C03B8"/>
    <w:rsid w:val="006C1BDA"/>
    <w:rsid w:val="006C5EC9"/>
    <w:rsid w:val="006C6059"/>
    <w:rsid w:val="006C7522"/>
    <w:rsid w:val="006D587D"/>
    <w:rsid w:val="006D6F08"/>
    <w:rsid w:val="006D7421"/>
    <w:rsid w:val="006E062C"/>
    <w:rsid w:val="006E228A"/>
    <w:rsid w:val="006E2700"/>
    <w:rsid w:val="006E28B7"/>
    <w:rsid w:val="006E3310"/>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ADB"/>
    <w:rsid w:val="00700225"/>
    <w:rsid w:val="00700C0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D43"/>
    <w:rsid w:val="00725571"/>
    <w:rsid w:val="00726C08"/>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6BBC"/>
    <w:rsid w:val="00747D8B"/>
    <w:rsid w:val="00751228"/>
    <w:rsid w:val="007554CF"/>
    <w:rsid w:val="007560B2"/>
    <w:rsid w:val="007571E1"/>
    <w:rsid w:val="007604B2"/>
    <w:rsid w:val="00763704"/>
    <w:rsid w:val="00765281"/>
    <w:rsid w:val="00765C28"/>
    <w:rsid w:val="00766BAD"/>
    <w:rsid w:val="00767108"/>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5C92"/>
    <w:rsid w:val="00796231"/>
    <w:rsid w:val="00797B4B"/>
    <w:rsid w:val="00797D43"/>
    <w:rsid w:val="007A00F1"/>
    <w:rsid w:val="007A1CB3"/>
    <w:rsid w:val="007A1ED8"/>
    <w:rsid w:val="007A25A6"/>
    <w:rsid w:val="007A306F"/>
    <w:rsid w:val="007A43A6"/>
    <w:rsid w:val="007A58A6"/>
    <w:rsid w:val="007A7596"/>
    <w:rsid w:val="007B3D2D"/>
    <w:rsid w:val="007B421F"/>
    <w:rsid w:val="007B50AE"/>
    <w:rsid w:val="007B51DF"/>
    <w:rsid w:val="007B5FE7"/>
    <w:rsid w:val="007C05DD"/>
    <w:rsid w:val="007C3D18"/>
    <w:rsid w:val="007C4FEB"/>
    <w:rsid w:val="007C60BF"/>
    <w:rsid w:val="007C6A07"/>
    <w:rsid w:val="007C75A1"/>
    <w:rsid w:val="007C77A5"/>
    <w:rsid w:val="007D04E5"/>
    <w:rsid w:val="007D10E3"/>
    <w:rsid w:val="007D23E8"/>
    <w:rsid w:val="007D5901"/>
    <w:rsid w:val="007D7526"/>
    <w:rsid w:val="007E1528"/>
    <w:rsid w:val="007E2CC6"/>
    <w:rsid w:val="007E346C"/>
    <w:rsid w:val="007E4610"/>
    <w:rsid w:val="007E4715"/>
    <w:rsid w:val="007E4AAA"/>
    <w:rsid w:val="007E505B"/>
    <w:rsid w:val="007E54B6"/>
    <w:rsid w:val="007E5EF5"/>
    <w:rsid w:val="007E7060"/>
    <w:rsid w:val="007E7091"/>
    <w:rsid w:val="007F2169"/>
    <w:rsid w:val="007F3884"/>
    <w:rsid w:val="007F5785"/>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4AB4"/>
    <w:rsid w:val="00825C42"/>
    <w:rsid w:val="00825D25"/>
    <w:rsid w:val="00827D6F"/>
    <w:rsid w:val="008303C3"/>
    <w:rsid w:val="008353FD"/>
    <w:rsid w:val="00836B2C"/>
    <w:rsid w:val="008376AC"/>
    <w:rsid w:val="00840038"/>
    <w:rsid w:val="0084275C"/>
    <w:rsid w:val="008438FC"/>
    <w:rsid w:val="00844305"/>
    <w:rsid w:val="008444E8"/>
    <w:rsid w:val="00844E80"/>
    <w:rsid w:val="00846FE7"/>
    <w:rsid w:val="00850CEC"/>
    <w:rsid w:val="00854E3A"/>
    <w:rsid w:val="00855298"/>
    <w:rsid w:val="00855581"/>
    <w:rsid w:val="00855A74"/>
    <w:rsid w:val="0085621E"/>
    <w:rsid w:val="00856911"/>
    <w:rsid w:val="00857096"/>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3EF4"/>
    <w:rsid w:val="0089490C"/>
    <w:rsid w:val="00894A88"/>
    <w:rsid w:val="00895386"/>
    <w:rsid w:val="008A0A8E"/>
    <w:rsid w:val="008A17E0"/>
    <w:rsid w:val="008A21FF"/>
    <w:rsid w:val="008A2CE2"/>
    <w:rsid w:val="008A30AC"/>
    <w:rsid w:val="008A44B8"/>
    <w:rsid w:val="008A51A8"/>
    <w:rsid w:val="008A54C7"/>
    <w:rsid w:val="008A5D1D"/>
    <w:rsid w:val="008A77D8"/>
    <w:rsid w:val="008B0483"/>
    <w:rsid w:val="008B120C"/>
    <w:rsid w:val="008B4370"/>
    <w:rsid w:val="008B4BF2"/>
    <w:rsid w:val="008B51A0"/>
    <w:rsid w:val="008B592A"/>
    <w:rsid w:val="008B5BB6"/>
    <w:rsid w:val="008B6FEF"/>
    <w:rsid w:val="008B7586"/>
    <w:rsid w:val="008B7B5C"/>
    <w:rsid w:val="008C0C99"/>
    <w:rsid w:val="008C1B7E"/>
    <w:rsid w:val="008C2017"/>
    <w:rsid w:val="008C4958"/>
    <w:rsid w:val="008C4BAA"/>
    <w:rsid w:val="008C6AE8"/>
    <w:rsid w:val="008C7573"/>
    <w:rsid w:val="008D34F1"/>
    <w:rsid w:val="008D39D8"/>
    <w:rsid w:val="008D6D1A"/>
    <w:rsid w:val="008E065E"/>
    <w:rsid w:val="008E0927"/>
    <w:rsid w:val="008E1909"/>
    <w:rsid w:val="008E576F"/>
    <w:rsid w:val="008F0377"/>
    <w:rsid w:val="008F1EAB"/>
    <w:rsid w:val="008F33DC"/>
    <w:rsid w:val="008F477F"/>
    <w:rsid w:val="008F69F2"/>
    <w:rsid w:val="008F6EFA"/>
    <w:rsid w:val="00901FF1"/>
    <w:rsid w:val="00902350"/>
    <w:rsid w:val="0090336B"/>
    <w:rsid w:val="00904C13"/>
    <w:rsid w:val="00904FF3"/>
    <w:rsid w:val="009053AA"/>
    <w:rsid w:val="00906939"/>
    <w:rsid w:val="00906E84"/>
    <w:rsid w:val="0091026B"/>
    <w:rsid w:val="00910B7D"/>
    <w:rsid w:val="00911DFB"/>
    <w:rsid w:val="009139D9"/>
    <w:rsid w:val="00914AD8"/>
    <w:rsid w:val="00916079"/>
    <w:rsid w:val="009176D7"/>
    <w:rsid w:val="00917CE9"/>
    <w:rsid w:val="00920BF2"/>
    <w:rsid w:val="00922010"/>
    <w:rsid w:val="009234BC"/>
    <w:rsid w:val="0092464F"/>
    <w:rsid w:val="00931BD9"/>
    <w:rsid w:val="0093294C"/>
    <w:rsid w:val="009342BE"/>
    <w:rsid w:val="00934FBD"/>
    <w:rsid w:val="009368F3"/>
    <w:rsid w:val="009413C2"/>
    <w:rsid w:val="00941636"/>
    <w:rsid w:val="00941E5E"/>
    <w:rsid w:val="009423FE"/>
    <w:rsid w:val="00943742"/>
    <w:rsid w:val="009446F3"/>
    <w:rsid w:val="009449E7"/>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6BEA"/>
    <w:rsid w:val="009670B9"/>
    <w:rsid w:val="00971ACC"/>
    <w:rsid w:val="00971F08"/>
    <w:rsid w:val="0097328F"/>
    <w:rsid w:val="0097603D"/>
    <w:rsid w:val="00976949"/>
    <w:rsid w:val="00980477"/>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97A73"/>
    <w:rsid w:val="009A0FBA"/>
    <w:rsid w:val="009A1601"/>
    <w:rsid w:val="009A26F4"/>
    <w:rsid w:val="009A2811"/>
    <w:rsid w:val="009A462D"/>
    <w:rsid w:val="009A5CBA"/>
    <w:rsid w:val="009B0F7B"/>
    <w:rsid w:val="009B1023"/>
    <w:rsid w:val="009B1F30"/>
    <w:rsid w:val="009B2D8B"/>
    <w:rsid w:val="009B3AC2"/>
    <w:rsid w:val="009B43C1"/>
    <w:rsid w:val="009B4DF4"/>
    <w:rsid w:val="009B5497"/>
    <w:rsid w:val="009B564E"/>
    <w:rsid w:val="009B58C2"/>
    <w:rsid w:val="009B7E87"/>
    <w:rsid w:val="009C403E"/>
    <w:rsid w:val="009C635B"/>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9F436E"/>
    <w:rsid w:val="009F46FC"/>
    <w:rsid w:val="00A01D9A"/>
    <w:rsid w:val="00A048A8"/>
    <w:rsid w:val="00A04F49"/>
    <w:rsid w:val="00A12C68"/>
    <w:rsid w:val="00A13E54"/>
    <w:rsid w:val="00A153E8"/>
    <w:rsid w:val="00A17F63"/>
    <w:rsid w:val="00A20BBE"/>
    <w:rsid w:val="00A2193B"/>
    <w:rsid w:val="00A2351A"/>
    <w:rsid w:val="00A247B7"/>
    <w:rsid w:val="00A25941"/>
    <w:rsid w:val="00A26190"/>
    <w:rsid w:val="00A264A9"/>
    <w:rsid w:val="00A27785"/>
    <w:rsid w:val="00A30187"/>
    <w:rsid w:val="00A31245"/>
    <w:rsid w:val="00A3156B"/>
    <w:rsid w:val="00A337D3"/>
    <w:rsid w:val="00A3448A"/>
    <w:rsid w:val="00A36297"/>
    <w:rsid w:val="00A37061"/>
    <w:rsid w:val="00A40146"/>
    <w:rsid w:val="00A40CF4"/>
    <w:rsid w:val="00A412D5"/>
    <w:rsid w:val="00A41E2B"/>
    <w:rsid w:val="00A4375F"/>
    <w:rsid w:val="00A44C33"/>
    <w:rsid w:val="00A45B74"/>
    <w:rsid w:val="00A52C72"/>
    <w:rsid w:val="00A52E1D"/>
    <w:rsid w:val="00A56ABC"/>
    <w:rsid w:val="00A610E7"/>
    <w:rsid w:val="00A61499"/>
    <w:rsid w:val="00A62A77"/>
    <w:rsid w:val="00A62E3A"/>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632D"/>
    <w:rsid w:val="00AB0BC8"/>
    <w:rsid w:val="00AB11CA"/>
    <w:rsid w:val="00AB14D9"/>
    <w:rsid w:val="00AB28CC"/>
    <w:rsid w:val="00AB4AB8"/>
    <w:rsid w:val="00AB52A7"/>
    <w:rsid w:val="00AB54D1"/>
    <w:rsid w:val="00AB655E"/>
    <w:rsid w:val="00AC007F"/>
    <w:rsid w:val="00AC2ECD"/>
    <w:rsid w:val="00AC3119"/>
    <w:rsid w:val="00AC3125"/>
    <w:rsid w:val="00AC35B8"/>
    <w:rsid w:val="00AC36AE"/>
    <w:rsid w:val="00AC49FB"/>
    <w:rsid w:val="00AC5A10"/>
    <w:rsid w:val="00AC63DE"/>
    <w:rsid w:val="00AC6B37"/>
    <w:rsid w:val="00AC7642"/>
    <w:rsid w:val="00AD0AA3"/>
    <w:rsid w:val="00AD3F94"/>
    <w:rsid w:val="00AD4A5A"/>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288"/>
    <w:rsid w:val="00B02AA9"/>
    <w:rsid w:val="00B02FA3"/>
    <w:rsid w:val="00B03EEA"/>
    <w:rsid w:val="00B05084"/>
    <w:rsid w:val="00B05129"/>
    <w:rsid w:val="00B05503"/>
    <w:rsid w:val="00B11B1A"/>
    <w:rsid w:val="00B147AB"/>
    <w:rsid w:val="00B157F9"/>
    <w:rsid w:val="00B167F1"/>
    <w:rsid w:val="00B20256"/>
    <w:rsid w:val="00B206C5"/>
    <w:rsid w:val="00B20D09"/>
    <w:rsid w:val="00B222FE"/>
    <w:rsid w:val="00B225BA"/>
    <w:rsid w:val="00B22714"/>
    <w:rsid w:val="00B23012"/>
    <w:rsid w:val="00B25A93"/>
    <w:rsid w:val="00B2763F"/>
    <w:rsid w:val="00B27AAC"/>
    <w:rsid w:val="00B30929"/>
    <w:rsid w:val="00B32B1A"/>
    <w:rsid w:val="00B3511C"/>
    <w:rsid w:val="00B372AA"/>
    <w:rsid w:val="00B40445"/>
    <w:rsid w:val="00B41888"/>
    <w:rsid w:val="00B42BDB"/>
    <w:rsid w:val="00B4408D"/>
    <w:rsid w:val="00B44F69"/>
    <w:rsid w:val="00B45A52"/>
    <w:rsid w:val="00B46175"/>
    <w:rsid w:val="00B52ED7"/>
    <w:rsid w:val="00B57AE8"/>
    <w:rsid w:val="00B60143"/>
    <w:rsid w:val="00B610D9"/>
    <w:rsid w:val="00B628ED"/>
    <w:rsid w:val="00B62AAA"/>
    <w:rsid w:val="00B664C7"/>
    <w:rsid w:val="00B67850"/>
    <w:rsid w:val="00B7052C"/>
    <w:rsid w:val="00B72C6B"/>
    <w:rsid w:val="00B72EBB"/>
    <w:rsid w:val="00B739F6"/>
    <w:rsid w:val="00B76906"/>
    <w:rsid w:val="00B770CD"/>
    <w:rsid w:val="00B77877"/>
    <w:rsid w:val="00B81A6C"/>
    <w:rsid w:val="00B83477"/>
    <w:rsid w:val="00B85524"/>
    <w:rsid w:val="00B85DE5"/>
    <w:rsid w:val="00B90F73"/>
    <w:rsid w:val="00B92605"/>
    <w:rsid w:val="00B93138"/>
    <w:rsid w:val="00B93B59"/>
    <w:rsid w:val="00B9406A"/>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F1A"/>
    <w:rsid w:val="00BD78DF"/>
    <w:rsid w:val="00BE04A1"/>
    <w:rsid w:val="00BE1234"/>
    <w:rsid w:val="00BE2971"/>
    <w:rsid w:val="00BE2FA6"/>
    <w:rsid w:val="00BE333F"/>
    <w:rsid w:val="00BE3709"/>
    <w:rsid w:val="00BE65AC"/>
    <w:rsid w:val="00BE7406"/>
    <w:rsid w:val="00BE7603"/>
    <w:rsid w:val="00BF0D18"/>
    <w:rsid w:val="00BF3279"/>
    <w:rsid w:val="00BF59EE"/>
    <w:rsid w:val="00BF74C7"/>
    <w:rsid w:val="00C00276"/>
    <w:rsid w:val="00C015F1"/>
    <w:rsid w:val="00C01F33"/>
    <w:rsid w:val="00C02318"/>
    <w:rsid w:val="00C02CC6"/>
    <w:rsid w:val="00C040F7"/>
    <w:rsid w:val="00C041B0"/>
    <w:rsid w:val="00C044AB"/>
    <w:rsid w:val="00C05706"/>
    <w:rsid w:val="00C07377"/>
    <w:rsid w:val="00C10478"/>
    <w:rsid w:val="00C108A4"/>
    <w:rsid w:val="00C10C2E"/>
    <w:rsid w:val="00C10D99"/>
    <w:rsid w:val="00C12107"/>
    <w:rsid w:val="00C14D4B"/>
    <w:rsid w:val="00C1513C"/>
    <w:rsid w:val="00C154BB"/>
    <w:rsid w:val="00C15948"/>
    <w:rsid w:val="00C165B2"/>
    <w:rsid w:val="00C254F9"/>
    <w:rsid w:val="00C25CE8"/>
    <w:rsid w:val="00C26FAA"/>
    <w:rsid w:val="00C279B5"/>
    <w:rsid w:val="00C27C45"/>
    <w:rsid w:val="00C3719D"/>
    <w:rsid w:val="00C37EC7"/>
    <w:rsid w:val="00C41AA0"/>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16C2"/>
    <w:rsid w:val="00C72710"/>
    <w:rsid w:val="00C72EF4"/>
    <w:rsid w:val="00C740DE"/>
    <w:rsid w:val="00C75D2F"/>
    <w:rsid w:val="00C766E9"/>
    <w:rsid w:val="00C767BE"/>
    <w:rsid w:val="00C76963"/>
    <w:rsid w:val="00C76E3C"/>
    <w:rsid w:val="00C81568"/>
    <w:rsid w:val="00C83BC9"/>
    <w:rsid w:val="00C8446E"/>
    <w:rsid w:val="00C87D9F"/>
    <w:rsid w:val="00C9027A"/>
    <w:rsid w:val="00C9068E"/>
    <w:rsid w:val="00C91288"/>
    <w:rsid w:val="00C91B05"/>
    <w:rsid w:val="00C91B59"/>
    <w:rsid w:val="00C93992"/>
    <w:rsid w:val="00C93C4B"/>
    <w:rsid w:val="00C944AB"/>
    <w:rsid w:val="00C95B40"/>
    <w:rsid w:val="00CA13BE"/>
    <w:rsid w:val="00CA14F7"/>
    <w:rsid w:val="00CA1ED8"/>
    <w:rsid w:val="00CA513C"/>
    <w:rsid w:val="00CA5EB4"/>
    <w:rsid w:val="00CB05A9"/>
    <w:rsid w:val="00CB0889"/>
    <w:rsid w:val="00CB1382"/>
    <w:rsid w:val="00CB1E20"/>
    <w:rsid w:val="00CB1F63"/>
    <w:rsid w:val="00CB6158"/>
    <w:rsid w:val="00CB7170"/>
    <w:rsid w:val="00CC040E"/>
    <w:rsid w:val="00CC111F"/>
    <w:rsid w:val="00CC1519"/>
    <w:rsid w:val="00CC2011"/>
    <w:rsid w:val="00CC3AC1"/>
    <w:rsid w:val="00CC3EA0"/>
    <w:rsid w:val="00CC4575"/>
    <w:rsid w:val="00CC52F4"/>
    <w:rsid w:val="00CC5BB5"/>
    <w:rsid w:val="00CC5C84"/>
    <w:rsid w:val="00CC6305"/>
    <w:rsid w:val="00CC65B1"/>
    <w:rsid w:val="00CC7B45"/>
    <w:rsid w:val="00CD1188"/>
    <w:rsid w:val="00CD2ED1"/>
    <w:rsid w:val="00CD337B"/>
    <w:rsid w:val="00CD3E2A"/>
    <w:rsid w:val="00CD3F90"/>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8BF"/>
    <w:rsid w:val="00D440F8"/>
    <w:rsid w:val="00D44A43"/>
    <w:rsid w:val="00D466C9"/>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610F"/>
    <w:rsid w:val="00D971E3"/>
    <w:rsid w:val="00D97235"/>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4A0C"/>
    <w:rsid w:val="00DC53EF"/>
    <w:rsid w:val="00DC79FD"/>
    <w:rsid w:val="00DD15A6"/>
    <w:rsid w:val="00DD7026"/>
    <w:rsid w:val="00DE1289"/>
    <w:rsid w:val="00DE3C86"/>
    <w:rsid w:val="00DE3FC8"/>
    <w:rsid w:val="00DE5608"/>
    <w:rsid w:val="00DE58D0"/>
    <w:rsid w:val="00DE654F"/>
    <w:rsid w:val="00DF03EA"/>
    <w:rsid w:val="00DF0B6E"/>
    <w:rsid w:val="00DF15E0"/>
    <w:rsid w:val="00DF37A0"/>
    <w:rsid w:val="00DF475E"/>
    <w:rsid w:val="00DF538E"/>
    <w:rsid w:val="00E07FCC"/>
    <w:rsid w:val="00E110E7"/>
    <w:rsid w:val="00E11B20"/>
    <w:rsid w:val="00E130B1"/>
    <w:rsid w:val="00E13151"/>
    <w:rsid w:val="00E17FA2"/>
    <w:rsid w:val="00E22330"/>
    <w:rsid w:val="00E23535"/>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5B9E"/>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7A41"/>
    <w:rsid w:val="00EB077B"/>
    <w:rsid w:val="00EB082F"/>
    <w:rsid w:val="00EB1264"/>
    <w:rsid w:val="00EB24AC"/>
    <w:rsid w:val="00EB4027"/>
    <w:rsid w:val="00EB4564"/>
    <w:rsid w:val="00EB45A4"/>
    <w:rsid w:val="00EB4E3A"/>
    <w:rsid w:val="00EB4EA2"/>
    <w:rsid w:val="00EB5EB4"/>
    <w:rsid w:val="00EB7897"/>
    <w:rsid w:val="00EC02FE"/>
    <w:rsid w:val="00EC27C6"/>
    <w:rsid w:val="00EC4207"/>
    <w:rsid w:val="00EC5653"/>
    <w:rsid w:val="00EC60B5"/>
    <w:rsid w:val="00EC71CE"/>
    <w:rsid w:val="00ED06D0"/>
    <w:rsid w:val="00ED1006"/>
    <w:rsid w:val="00ED14B1"/>
    <w:rsid w:val="00ED69C6"/>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54EE"/>
    <w:rsid w:val="00F4766C"/>
    <w:rsid w:val="00F507D1"/>
    <w:rsid w:val="00F519CE"/>
    <w:rsid w:val="00F51ADA"/>
    <w:rsid w:val="00F52A16"/>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782"/>
    <w:rsid w:val="00F92878"/>
    <w:rsid w:val="00F92917"/>
    <w:rsid w:val="00F93AA9"/>
    <w:rsid w:val="00F9437D"/>
    <w:rsid w:val="00F96985"/>
    <w:rsid w:val="00F96BF5"/>
    <w:rsid w:val="00F97838"/>
    <w:rsid w:val="00FA2BB3"/>
    <w:rsid w:val="00FA45A3"/>
    <w:rsid w:val="00FB3043"/>
    <w:rsid w:val="00FB341B"/>
    <w:rsid w:val="00FB4C80"/>
    <w:rsid w:val="00FB5528"/>
    <w:rsid w:val="00FB5614"/>
    <w:rsid w:val="00FB6966"/>
    <w:rsid w:val="00FB6A6A"/>
    <w:rsid w:val="00FC2E7A"/>
    <w:rsid w:val="00FC4AD0"/>
    <w:rsid w:val="00FC53CA"/>
    <w:rsid w:val="00FC6653"/>
    <w:rsid w:val="00FC6897"/>
    <w:rsid w:val="00FC7429"/>
    <w:rsid w:val="00FC798B"/>
    <w:rsid w:val="00FD07F6"/>
    <w:rsid w:val="00FD133A"/>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74F"/>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paragraph" w:styleId="NormalWeb">
    <w:name w:val="Normal (Web)"/>
    <w:basedOn w:val="Normal"/>
    <w:uiPriority w:val="99"/>
    <w:unhideWhenUsed/>
    <w:rsid w:val="00A40146"/>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paragraph" w:customStyle="1" w:styleId="IvDInstructiontext">
    <w:name w:val="IvD Instructiontext"/>
    <w:basedOn w:val="BodyText"/>
    <w:link w:val="IvDInstructiontextChar"/>
    <w:uiPriority w:val="99"/>
    <w:qFormat/>
    <w:rsid w:val="00A401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146"/>
    <w:rPr>
      <w:rFonts w:ascii="Arial" w:hAnsi="Arial"/>
      <w:i/>
      <w:color w:val="7F7F7F" w:themeColor="text1" w:themeTint="80"/>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F7ED856-E590-477A-9732-4B03F3C61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507F14DB-1DCA-4DD2-8568-871BB97C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33</TotalTime>
  <Pages>1</Pages>
  <Words>703</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Oumer Teyeb</cp:lastModifiedBy>
  <cp:revision>24</cp:revision>
  <cp:lastPrinted>2008-01-31T06:09:00Z</cp:lastPrinted>
  <dcterms:created xsi:type="dcterms:W3CDTF">2019-04-30T20:24:00Z</dcterms:created>
  <dcterms:modified xsi:type="dcterms:W3CDTF">2019-08-15T17:51:00Z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ee9a6711-7bdf-414a-aadf-107cb16c978f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246</vt:lpwstr>
  </property>
  <property fmtid="{D5CDD505-2E9C-101B-9397-08002B2CF9AE}" pid="15" name="AuthorIds_UIVersion_2560">
    <vt:lpwstr>40</vt:lpwstr>
  </property>
  <property fmtid="{D5CDD505-2E9C-101B-9397-08002B2CF9AE}" pid="16" name="AuthorIds_UIVersion_3584">
    <vt:lpwstr>246</vt:lpwstr>
  </property>
  <property fmtid="{D5CDD505-2E9C-101B-9397-08002B2CF9AE}" pid="17" name="AuthorIds_UIVersion_4096">
    <vt:lpwstr>357</vt:lpwstr>
  </property>
  <property fmtid="{D5CDD505-2E9C-101B-9397-08002B2CF9AE}" pid="18" name="AuthorIds_UIVersion_4608">
    <vt:lpwstr>40</vt:lpwstr>
  </property>
  <property fmtid="{D5CDD505-2E9C-101B-9397-08002B2CF9AE}" pid="19" name="AuthorIds_UIVersion_5120">
    <vt:lpwstr>246</vt:lpwstr>
  </property>
  <property fmtid="{D5CDD505-2E9C-101B-9397-08002B2CF9AE}" pid="20" name="AuthorIds_UIVersion_7168">
    <vt:lpwstr>246</vt:lpwstr>
  </property>
  <property fmtid="{D5CDD505-2E9C-101B-9397-08002B2CF9AE}" pid="21" name="AuthorIds_UIVersion_7680">
    <vt:lpwstr>357</vt:lpwstr>
  </property>
  <property fmtid="{D5CDD505-2E9C-101B-9397-08002B2CF9AE}" pid="22" name="AuthorIds_UIVersion_8192">
    <vt:lpwstr>246</vt:lpwstr>
  </property>
  <property fmtid="{D5CDD505-2E9C-101B-9397-08002B2CF9AE}" pid="23" name="AuthorIds_UIVersion_9216">
    <vt:lpwstr>40</vt:lpwstr>
  </property>
  <property fmtid="{D5CDD505-2E9C-101B-9397-08002B2CF9AE}" pid="24" name="AuthorIds_UIVersion_1536">
    <vt:lpwstr>246</vt:lpwstr>
  </property>
</Properties>
</file>